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24B" w:rsidRDefault="00EF5A37" w:rsidP="00E70B30">
      <w:pPr>
        <w:spacing w:line="240" w:lineRule="auto"/>
        <w:ind w:left="1" w:hanging="3"/>
        <w:jc w:val="center"/>
        <w:rPr>
          <w:rFonts w:ascii="Cambria" w:eastAsia="Cambria" w:hAnsi="Cambria" w:cs="Cambria"/>
          <w:color w:val="000000"/>
          <w:sz w:val="28"/>
          <w:szCs w:val="28"/>
        </w:rPr>
      </w:pPr>
      <w:bookmarkStart w:id="0" w:name="_heading=h.gjdgxs" w:colFirst="0" w:colLast="0"/>
      <w:bookmarkEnd w:id="0"/>
      <w:r>
        <w:rPr>
          <w:rFonts w:ascii="Cambria" w:eastAsia="Cambria" w:hAnsi="Cambria" w:cs="Cambria"/>
          <w:b/>
          <w:color w:val="000000"/>
          <w:sz w:val="28"/>
          <w:szCs w:val="28"/>
        </w:rPr>
        <w:t>ESTRATÉGIAS DE ENSINO E O PENSAMENTO CRÍTICO EM CIÊNCIAS: ESTUDO COMPARATIVO ENTRE LIVROS DIDÁTICOS DO BRASIL E DE PORTUGAL</w:t>
      </w:r>
    </w:p>
    <w:p w:rsidR="0076324B" w:rsidRDefault="0076324B">
      <w:pPr>
        <w:pBdr>
          <w:top w:val="nil"/>
          <w:left w:val="nil"/>
          <w:bottom w:val="nil"/>
          <w:right w:val="nil"/>
          <w:between w:val="nil"/>
        </w:pBdr>
        <w:spacing w:line="240" w:lineRule="auto"/>
        <w:ind w:left="1" w:hanging="3"/>
        <w:rPr>
          <w:rFonts w:ascii="Cambria" w:eastAsia="Cambria" w:hAnsi="Cambria" w:cs="Cambria"/>
          <w:b/>
          <w:color w:val="000000"/>
          <w:sz w:val="28"/>
          <w:szCs w:val="28"/>
        </w:rPr>
      </w:pPr>
    </w:p>
    <w:p w:rsidR="0076324B" w:rsidRPr="00E70B30" w:rsidRDefault="00EF5A37">
      <w:pPr>
        <w:pBdr>
          <w:top w:val="nil"/>
          <w:left w:val="nil"/>
          <w:bottom w:val="nil"/>
          <w:right w:val="nil"/>
          <w:between w:val="nil"/>
        </w:pBdr>
        <w:spacing w:line="240" w:lineRule="auto"/>
        <w:ind w:left="0" w:hanging="2"/>
        <w:jc w:val="center"/>
        <w:rPr>
          <w:rFonts w:ascii="Calibri" w:eastAsia="Calibri" w:hAnsi="Calibri" w:cs="Calibri"/>
          <w:b/>
          <w:color w:val="000000"/>
          <w:sz w:val="24"/>
        </w:rPr>
      </w:pPr>
      <w:r w:rsidRPr="00E70B30">
        <w:rPr>
          <w:rFonts w:ascii="Calibri" w:eastAsia="Calibri" w:hAnsi="Calibri" w:cs="Calibri"/>
          <w:b/>
          <w:color w:val="000000"/>
          <w:sz w:val="24"/>
        </w:rPr>
        <w:t>Letiane Lopes da Cruz¹</w:t>
      </w:r>
      <w:r w:rsidRPr="00E70B30">
        <w:rPr>
          <w:rFonts w:ascii="Calibri" w:eastAsia="Calibri" w:hAnsi="Calibri" w:cs="Calibri"/>
          <w:b/>
          <w:color w:val="000000"/>
          <w:sz w:val="24"/>
          <w:vertAlign w:val="superscript"/>
        </w:rPr>
        <w:t>,</w:t>
      </w:r>
      <w:r w:rsidRPr="00E70B30">
        <w:rPr>
          <w:rFonts w:ascii="Calibri" w:eastAsia="Calibri" w:hAnsi="Calibri" w:cs="Calibri"/>
          <w:b/>
          <w:color w:val="000000"/>
          <w:sz w:val="24"/>
          <w:vertAlign w:val="superscript"/>
        </w:rPr>
        <w:footnoteReference w:id="1"/>
      </w:r>
      <w:r w:rsidRPr="00E70B30">
        <w:rPr>
          <w:rFonts w:ascii="Calibri" w:eastAsia="Calibri" w:hAnsi="Calibri" w:cs="Calibri"/>
          <w:b/>
          <w:color w:val="000000"/>
          <w:sz w:val="24"/>
        </w:rPr>
        <w:t xml:space="preserve">, </w:t>
      </w:r>
      <w:proofErr w:type="spellStart"/>
      <w:r w:rsidRPr="00E70B30">
        <w:rPr>
          <w:rFonts w:ascii="Calibri" w:eastAsia="Calibri" w:hAnsi="Calibri" w:cs="Calibri"/>
          <w:b/>
          <w:color w:val="000000"/>
          <w:sz w:val="24"/>
        </w:rPr>
        <w:t>Naiára</w:t>
      </w:r>
      <w:proofErr w:type="spellEnd"/>
      <w:r w:rsidRPr="00E70B30">
        <w:rPr>
          <w:rFonts w:ascii="Calibri" w:eastAsia="Calibri" w:hAnsi="Calibri" w:cs="Calibri"/>
          <w:b/>
          <w:color w:val="000000"/>
          <w:sz w:val="24"/>
        </w:rPr>
        <w:t xml:space="preserve"> </w:t>
      </w:r>
      <w:proofErr w:type="spellStart"/>
      <w:r w:rsidRPr="00E70B30">
        <w:rPr>
          <w:rFonts w:ascii="Calibri" w:eastAsia="Calibri" w:hAnsi="Calibri" w:cs="Calibri"/>
          <w:b/>
          <w:color w:val="000000"/>
          <w:sz w:val="24"/>
        </w:rPr>
        <w:t>Berwaldt</w:t>
      </w:r>
      <w:proofErr w:type="spellEnd"/>
      <w:r w:rsidRPr="00E70B30">
        <w:rPr>
          <w:rFonts w:ascii="Calibri" w:eastAsia="Calibri" w:hAnsi="Calibri" w:cs="Calibri"/>
          <w:b/>
          <w:color w:val="000000"/>
          <w:sz w:val="24"/>
        </w:rPr>
        <w:t xml:space="preserve"> Wust², </w:t>
      </w:r>
      <w:proofErr w:type="spellStart"/>
      <w:r w:rsidRPr="00E70B30">
        <w:rPr>
          <w:rFonts w:ascii="Calibri" w:eastAsia="Calibri" w:hAnsi="Calibri" w:cs="Calibri"/>
          <w:b/>
          <w:color w:val="000000"/>
          <w:sz w:val="24"/>
        </w:rPr>
        <w:t>Kélli</w:t>
      </w:r>
      <w:proofErr w:type="spellEnd"/>
      <w:r w:rsidRPr="00E70B30">
        <w:rPr>
          <w:rFonts w:ascii="Calibri" w:eastAsia="Calibri" w:hAnsi="Calibri" w:cs="Calibri"/>
          <w:b/>
          <w:color w:val="000000"/>
          <w:sz w:val="24"/>
        </w:rPr>
        <w:t xml:space="preserve"> Renata Corrêa De Mattos³, Roque Ismael da Costa Güllich</w:t>
      </w:r>
      <w:r w:rsidRPr="00E70B30">
        <w:rPr>
          <w:rFonts w:ascii="Calibri" w:eastAsia="Calibri" w:hAnsi="Calibri" w:cs="Calibri"/>
          <w:b/>
          <w:color w:val="000000"/>
          <w:sz w:val="24"/>
          <w:vertAlign w:val="superscript"/>
        </w:rPr>
        <w:t>4</w:t>
      </w:r>
    </w:p>
    <w:p w:rsidR="0076324B" w:rsidRPr="00E70B30" w:rsidRDefault="00EF5A37" w:rsidP="00E70B3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sidRPr="00E70B30">
        <w:rPr>
          <w:rFonts w:ascii="Calibri" w:eastAsia="Calibri" w:hAnsi="Calibri" w:cs="Calibri"/>
          <w:color w:val="000000"/>
          <w:sz w:val="20"/>
          <w:szCs w:val="20"/>
          <w:vertAlign w:val="superscript"/>
        </w:rPr>
        <w:t>1</w:t>
      </w:r>
      <w:r w:rsidRPr="00E70B30">
        <w:rPr>
          <w:rFonts w:ascii="Calibri" w:eastAsia="Calibri" w:hAnsi="Calibri" w:cs="Calibri"/>
          <w:color w:val="000000"/>
          <w:sz w:val="20"/>
          <w:szCs w:val="20"/>
        </w:rPr>
        <w:t xml:space="preserve">Universidade Federal da Fronteira Sul, </w:t>
      </w:r>
      <w:hyperlink r:id="rId7">
        <w:r w:rsidRPr="00E70B30">
          <w:rPr>
            <w:rFonts w:ascii="Calibri" w:eastAsia="Calibri" w:hAnsi="Calibri" w:cs="Calibri"/>
            <w:color w:val="000000"/>
            <w:sz w:val="20"/>
            <w:szCs w:val="20"/>
            <w:u w:val="single"/>
          </w:rPr>
          <w:t>letianedacruz@gmail.com</w:t>
        </w:r>
      </w:hyperlink>
    </w:p>
    <w:p w:rsidR="0076324B" w:rsidRPr="00E70B30" w:rsidRDefault="00EF5A37" w:rsidP="00E70B30">
      <w:pPr>
        <w:spacing w:line="240" w:lineRule="auto"/>
        <w:ind w:left="0" w:hanging="2"/>
        <w:jc w:val="center"/>
        <w:rPr>
          <w:rFonts w:ascii="Calibri" w:eastAsia="Calibri" w:hAnsi="Calibri" w:cs="Calibri"/>
          <w:color w:val="000000"/>
          <w:sz w:val="20"/>
          <w:szCs w:val="20"/>
        </w:rPr>
      </w:pPr>
      <w:r w:rsidRPr="00E70B30">
        <w:rPr>
          <w:rFonts w:ascii="Calibri" w:eastAsia="Calibri" w:hAnsi="Calibri" w:cs="Calibri"/>
          <w:color w:val="000000"/>
          <w:sz w:val="20"/>
          <w:szCs w:val="20"/>
        </w:rPr>
        <w:t xml:space="preserve">² Universidade Federal da Fronteira Sul, </w:t>
      </w:r>
      <w:hyperlink r:id="rId8">
        <w:r w:rsidRPr="00E70B30">
          <w:rPr>
            <w:rFonts w:ascii="Calibri" w:eastAsia="Calibri" w:hAnsi="Calibri" w:cs="Calibri"/>
            <w:color w:val="000000"/>
            <w:sz w:val="20"/>
            <w:szCs w:val="20"/>
            <w:u w:val="single"/>
          </w:rPr>
          <w:t>naiaraberwaldtwust@gmail.com</w:t>
        </w:r>
      </w:hyperlink>
    </w:p>
    <w:p w:rsidR="0076324B" w:rsidRPr="00E70B30" w:rsidRDefault="00EF5A37" w:rsidP="00E70B30">
      <w:pPr>
        <w:spacing w:line="240" w:lineRule="auto"/>
        <w:ind w:left="0" w:hanging="2"/>
        <w:jc w:val="center"/>
        <w:rPr>
          <w:rFonts w:ascii="Calibri" w:eastAsia="Calibri" w:hAnsi="Calibri" w:cs="Calibri"/>
          <w:color w:val="000000"/>
          <w:sz w:val="20"/>
          <w:szCs w:val="20"/>
        </w:rPr>
      </w:pPr>
      <w:r w:rsidRPr="00E70B30">
        <w:rPr>
          <w:rFonts w:ascii="Calibri" w:eastAsia="Calibri" w:hAnsi="Calibri" w:cs="Calibri"/>
          <w:color w:val="000000"/>
          <w:sz w:val="20"/>
          <w:szCs w:val="20"/>
        </w:rPr>
        <w:t>³ Universidade Federal de Santa Maria, kellirenata2015@gmail.com</w:t>
      </w:r>
    </w:p>
    <w:p w:rsidR="0076324B" w:rsidRPr="00E70B30" w:rsidRDefault="00EF5A37" w:rsidP="00E70B30">
      <w:pPr>
        <w:pBdr>
          <w:top w:val="nil"/>
          <w:left w:val="nil"/>
          <w:bottom w:val="nil"/>
          <w:right w:val="nil"/>
          <w:between w:val="nil"/>
        </w:pBdr>
        <w:spacing w:line="240" w:lineRule="auto"/>
        <w:ind w:left="0" w:hanging="2"/>
        <w:jc w:val="center"/>
        <w:rPr>
          <w:rFonts w:ascii="Calibri" w:eastAsia="Calibri" w:hAnsi="Calibri" w:cs="Calibri"/>
          <w:color w:val="000000"/>
          <w:sz w:val="20"/>
          <w:szCs w:val="20"/>
          <w:vertAlign w:val="superscript"/>
        </w:rPr>
      </w:pPr>
      <w:r w:rsidRPr="00E70B30">
        <w:rPr>
          <w:rFonts w:ascii="Calibri" w:eastAsia="Calibri" w:hAnsi="Calibri" w:cs="Calibri"/>
          <w:color w:val="000000"/>
          <w:sz w:val="20"/>
          <w:szCs w:val="20"/>
          <w:vertAlign w:val="superscript"/>
        </w:rPr>
        <w:t>4</w:t>
      </w:r>
      <w:r w:rsidRPr="00E70B30">
        <w:rPr>
          <w:rFonts w:ascii="Calibri" w:eastAsia="Calibri" w:hAnsi="Calibri" w:cs="Calibri"/>
          <w:color w:val="000000"/>
          <w:sz w:val="20"/>
          <w:szCs w:val="20"/>
        </w:rPr>
        <w:t xml:space="preserve">Universidade Federal da Fronteira Sul, </w:t>
      </w:r>
      <w:hyperlink r:id="rId9">
        <w:r w:rsidRPr="00E70B30">
          <w:rPr>
            <w:rFonts w:ascii="Calibri" w:eastAsia="Calibri" w:hAnsi="Calibri" w:cs="Calibri"/>
            <w:color w:val="000000"/>
            <w:sz w:val="20"/>
            <w:szCs w:val="20"/>
          </w:rPr>
          <w:t>bioroque.girua@gmail.com</w:t>
        </w:r>
      </w:hyperlink>
    </w:p>
    <w:p w:rsidR="0076324B" w:rsidRDefault="0076324B">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p>
    <w:p w:rsidR="0076324B" w:rsidRPr="00E70B30" w:rsidRDefault="00EF5A37">
      <w:pPr>
        <w:tabs>
          <w:tab w:val="left" w:pos="2610"/>
        </w:tabs>
        <w:spacing w:line="240" w:lineRule="auto"/>
        <w:ind w:left="0" w:hanging="2"/>
        <w:jc w:val="both"/>
        <w:rPr>
          <w:rFonts w:ascii="Calibri" w:eastAsia="Calibri" w:hAnsi="Calibri" w:cs="Calibri"/>
          <w:color w:val="000000"/>
          <w:sz w:val="24"/>
          <w:u w:val="single"/>
        </w:rPr>
      </w:pPr>
      <w:r w:rsidRPr="00E70B30">
        <w:rPr>
          <w:rFonts w:ascii="Calibri" w:eastAsia="Calibri" w:hAnsi="Calibri" w:cs="Calibri"/>
          <w:b/>
          <w:color w:val="000000"/>
          <w:sz w:val="24"/>
        </w:rPr>
        <w:t xml:space="preserve">RESUMO: </w:t>
      </w:r>
      <w:r w:rsidRPr="00E70B30">
        <w:rPr>
          <w:rFonts w:ascii="Calibri" w:eastAsia="Calibri" w:hAnsi="Calibri" w:cs="Calibri"/>
          <w:color w:val="000000"/>
          <w:sz w:val="24"/>
        </w:rPr>
        <w:t xml:space="preserve">A utilização do Livro Didático (LD) está constantemente presente na prática pedagógica do professor, recurso utilizado na mediação do processo de ensino e aprendizagem, sendo assim é necessários estudos sobre LD e estratégias didáticas presentes nestes, a fim de verificar se estas apresentam o potencial de promover o Pensamento Crítico (PC). Neste contexto, foram analisados por comparação dois trabalhos de pesquisa sobre Livros Didáticos de Ensino Fundamental (LDCEF), desenvolvidos por pesquisadores do Grupo de Estudos e Pesquisas em Ensino de Ciências e Matemática, com intuito de desenvolver um comparativo sobre estratégias didáticas presentes em LDCEF portugueses e brasileiros sobre o potencial de promover o desenvolvimento do PC em Ciências. Entre as comparações realizadas, as atividades/estratégias didáticas com maior similaridade entre ambos LD, estão classificadas na categoria exploratória (Atividades, Explore, Desafio, Laboratório), na qual consideramos um resultado satisfatório, atividades presentes nesta categoria se bem mediadas possuem potencial de desenvolver o PC. </w:t>
      </w:r>
    </w:p>
    <w:p w:rsidR="0076324B" w:rsidRDefault="00EF5A37" w:rsidP="00E70B30">
      <w:pPr>
        <w:spacing w:after="120" w:line="240" w:lineRule="auto"/>
        <w:ind w:left="0" w:hanging="2"/>
        <w:jc w:val="both"/>
        <w:rPr>
          <w:rFonts w:ascii="Calibri" w:eastAsia="Calibri" w:hAnsi="Calibri" w:cs="Calibri"/>
          <w:color w:val="000000"/>
        </w:rPr>
      </w:pPr>
      <w:bookmarkStart w:id="1" w:name="_heading=h.30j0zll" w:colFirst="0" w:colLast="0"/>
      <w:bookmarkEnd w:id="1"/>
      <w:r w:rsidRPr="00E70B30">
        <w:rPr>
          <w:rFonts w:ascii="Calibri" w:eastAsia="Calibri" w:hAnsi="Calibri" w:cs="Calibri"/>
          <w:b/>
          <w:color w:val="000000"/>
          <w:sz w:val="24"/>
        </w:rPr>
        <w:t xml:space="preserve">Palavras Chaves: </w:t>
      </w:r>
      <w:r w:rsidRPr="00E70B30">
        <w:rPr>
          <w:rFonts w:ascii="Calibri" w:eastAsia="Calibri" w:hAnsi="Calibri" w:cs="Calibri"/>
          <w:color w:val="000000"/>
          <w:sz w:val="24"/>
        </w:rPr>
        <w:t>Ensino de Ciências. Estratégias Didáticas. Reflexão crítica. Pensamento.</w:t>
      </w:r>
      <w:r w:rsidRPr="00E70B30">
        <w:rPr>
          <w:rFonts w:ascii="Calibri" w:eastAsia="Calibri" w:hAnsi="Calibri" w:cs="Calibri"/>
          <w:b/>
          <w:color w:val="000000"/>
          <w:sz w:val="24"/>
        </w:rPr>
        <w:t xml:space="preserve"> </w:t>
      </w:r>
    </w:p>
    <w:p w:rsidR="0076324B" w:rsidRPr="00115D3C" w:rsidRDefault="00EF5A37">
      <w:pPr>
        <w:spacing w:line="240" w:lineRule="auto"/>
        <w:ind w:left="0" w:hanging="2"/>
        <w:jc w:val="both"/>
        <w:rPr>
          <w:rFonts w:ascii="Calibri" w:eastAsia="Calibri" w:hAnsi="Calibri" w:cs="Calibri"/>
          <w:color w:val="000000"/>
          <w:sz w:val="24"/>
          <w:szCs w:val="24"/>
          <w:lang w:val="en-US"/>
        </w:rPr>
      </w:pPr>
      <w:r w:rsidRPr="00E70B30">
        <w:rPr>
          <w:rFonts w:ascii="Calibri" w:eastAsia="Calibri" w:hAnsi="Calibri" w:cs="Calibri"/>
          <w:b/>
          <w:color w:val="000000"/>
          <w:sz w:val="24"/>
          <w:lang w:val="en-US"/>
        </w:rPr>
        <w:t xml:space="preserve">ABSTRACT: </w:t>
      </w:r>
      <w:r w:rsidRPr="00115D3C">
        <w:rPr>
          <w:rFonts w:ascii="Calibri" w:eastAsia="Calibri" w:hAnsi="Calibri" w:cs="Calibri"/>
          <w:color w:val="000000"/>
          <w:sz w:val="24"/>
          <w:szCs w:val="24"/>
          <w:lang w:val="en-US"/>
        </w:rPr>
        <w:t>The use of the Didactic Book (LD) is constantly present in the pedagogical practice of the teacher, a resource used in the mediation of the teaching and learning process, therefore it is necessary to study LD and didactic strategies present in these, in order to verify if they have the potential to promote Critical Thinking (CP). In this context, two research papers on Elementary School Textbooks (LDCEF) were developed by comparison, developed by researchers from the Study and Research Group in Science and Mathematics Teaching, with the aim of developing a comparison of didactic strategies present in Portuguese LDCEF. and Brazilians about the potential to promote the development of PC in Sciences. Among the comparisons made, the didactic activities/ strategies with the greatest similarity between both LDs are classified in the exploratory category (Activities, Explore, Challenge, Laboratory), in which we consider a satisfactory result, since activities present in this category, if well mediated, have the potential to develop the PC.</w:t>
      </w:r>
    </w:p>
    <w:p w:rsidR="0076324B" w:rsidRDefault="00EF5A37" w:rsidP="00E70B30">
      <w:pPr>
        <w:spacing w:line="240" w:lineRule="auto"/>
        <w:ind w:left="0" w:hanging="2"/>
        <w:jc w:val="both"/>
        <w:rPr>
          <w:rFonts w:ascii="Calibri" w:eastAsia="Calibri" w:hAnsi="Calibri" w:cs="Calibri"/>
          <w:color w:val="000000"/>
        </w:rPr>
      </w:pPr>
      <w:r w:rsidRPr="00E70B30">
        <w:rPr>
          <w:rFonts w:ascii="Calibri" w:eastAsia="Calibri" w:hAnsi="Calibri" w:cs="Calibri"/>
          <w:b/>
          <w:color w:val="000000"/>
          <w:sz w:val="24"/>
          <w:lang w:val="en-US"/>
        </w:rPr>
        <w:t xml:space="preserve">Keywords: </w:t>
      </w:r>
      <w:r w:rsidRPr="00115D3C">
        <w:rPr>
          <w:rFonts w:ascii="Calibri" w:eastAsia="Calibri" w:hAnsi="Calibri" w:cs="Calibri"/>
          <w:color w:val="000000"/>
          <w:sz w:val="24"/>
          <w:szCs w:val="24"/>
          <w:lang w:val="en-US"/>
        </w:rPr>
        <w:t xml:space="preserve">Science teaching. Didactic Strategies. </w:t>
      </w:r>
      <w:proofErr w:type="spellStart"/>
      <w:r>
        <w:rPr>
          <w:rFonts w:ascii="Calibri" w:eastAsia="Calibri" w:hAnsi="Calibri" w:cs="Calibri"/>
          <w:color w:val="000000"/>
          <w:sz w:val="24"/>
          <w:szCs w:val="24"/>
        </w:rPr>
        <w:t>Critical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reflection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Thought</w:t>
      </w:r>
      <w:proofErr w:type="spellEnd"/>
      <w:r>
        <w:rPr>
          <w:rFonts w:ascii="Calibri" w:eastAsia="Calibri" w:hAnsi="Calibri" w:cs="Calibri"/>
          <w:color w:val="000000"/>
          <w:sz w:val="24"/>
          <w:szCs w:val="24"/>
        </w:rPr>
        <w:t>.</w:t>
      </w:r>
    </w:p>
    <w:p w:rsidR="0076324B" w:rsidRDefault="0076324B">
      <w:pPr>
        <w:ind w:left="0" w:hanging="2"/>
        <w:jc w:val="both"/>
        <w:rPr>
          <w:color w:val="000000"/>
          <w:vertAlign w:val="superscript"/>
        </w:rPr>
      </w:pPr>
    </w:p>
    <w:sectPr w:rsidR="0076324B">
      <w:headerReference w:type="even" r:id="rId10"/>
      <w:headerReference w:type="default" r:id="rId11"/>
      <w:footerReference w:type="even" r:id="rId12"/>
      <w:footerReference w:type="default" r:id="rId13"/>
      <w:headerReference w:type="first" r:id="rId14"/>
      <w:footerReference w:type="first" r:id="rId15"/>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58D" w:rsidRDefault="007E158D">
      <w:pPr>
        <w:spacing w:line="240" w:lineRule="auto"/>
        <w:ind w:left="0" w:hanging="2"/>
      </w:pPr>
      <w:r>
        <w:separator/>
      </w:r>
    </w:p>
  </w:endnote>
  <w:endnote w:type="continuationSeparator" w:id="0">
    <w:p w:rsidR="007E158D" w:rsidRDefault="007E158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77B" w:rsidRDefault="00D8677B">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4B" w:rsidRPr="00D8677B" w:rsidRDefault="00EF5A37" w:rsidP="00D8677B">
    <w:pPr>
      <w:pStyle w:val="Rodap"/>
      <w:ind w:left="0" w:hanging="2"/>
      <w:rPr>
        <w:rFonts w:ascii="Cambria" w:hAnsi="Cambria" w:cs="Tahoma"/>
        <w:color w:val="2E74B5"/>
        <w:position w:val="0"/>
      </w:rPr>
    </w:pPr>
    <w:r>
      <w:rPr>
        <w:rFonts w:ascii="Cambria" w:eastAsia="Cambria" w:hAnsi="Cambria" w:cs="Cambria"/>
        <w:color w:val="2E74B5"/>
      </w:rPr>
      <w:t xml:space="preserve">URI, </w:t>
    </w:r>
    <w:r w:rsidR="00D8677B">
      <w:rPr>
        <w:rFonts w:ascii="Cambria" w:hAnsi="Cambria" w:cs="Tahoma"/>
        <w:color w:val="2E74B5"/>
        <w:szCs w:val="16"/>
      </w:rPr>
      <w:t>14-15 de setembro de 2020.</w:t>
    </w:r>
    <w:bookmarkStart w:id="2" w:name="_GoBack"/>
    <w:bookmarkEnd w:id="2"/>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4B" w:rsidRDefault="00EF5A37">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URI, 15-17 de Abril de 2020                                   Santo Ângelo – RS – Brasil.</w:t>
    </w:r>
  </w:p>
  <w:p w:rsidR="0076324B" w:rsidRDefault="0076324B">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58D" w:rsidRDefault="007E158D">
      <w:pPr>
        <w:spacing w:line="240" w:lineRule="auto"/>
        <w:ind w:left="0" w:hanging="2"/>
      </w:pPr>
      <w:r>
        <w:separator/>
      </w:r>
    </w:p>
  </w:footnote>
  <w:footnote w:type="continuationSeparator" w:id="0">
    <w:p w:rsidR="007E158D" w:rsidRDefault="007E158D">
      <w:pPr>
        <w:spacing w:line="240" w:lineRule="auto"/>
        <w:ind w:left="0" w:hanging="2"/>
      </w:pPr>
      <w:r>
        <w:continuationSeparator/>
      </w:r>
    </w:p>
  </w:footnote>
  <w:footnote w:id="1">
    <w:p w:rsidR="0076324B" w:rsidRDefault="00EF5A37">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Apoio: financiamento CNPq.</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77B" w:rsidRDefault="00D8677B">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4B" w:rsidRDefault="0076324B">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color w:val="000000"/>
      </w:rPr>
    </w:pPr>
  </w:p>
  <w:p w:rsidR="0076324B" w:rsidRDefault="0076324B">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rPr>
    </w:pPr>
  </w:p>
  <w:p w:rsidR="0076324B" w:rsidRDefault="00EF5A37">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rPr>
    </w:pPr>
    <w:r>
      <w:rPr>
        <w:rFonts w:ascii="Cambria" w:eastAsia="Cambria" w:hAnsi="Cambria" w:cs="Cambria"/>
        <w:color w:val="2E74B5"/>
      </w:rPr>
      <w:t>V CIECITEC                                                                                                     Santo Ângelo – RS – Brasil</w:t>
    </w:r>
  </w:p>
  <w:p w:rsidR="0076324B" w:rsidRDefault="0076324B">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4B" w:rsidRDefault="00EF5A37">
    <w:pPr>
      <w:pBdr>
        <w:top w:val="nil"/>
        <w:left w:val="nil"/>
        <w:bottom w:val="nil"/>
        <w:right w:val="nil"/>
        <w:between w:val="nil"/>
      </w:pBdr>
      <w:tabs>
        <w:tab w:val="center" w:pos="4253"/>
        <w:tab w:val="right" w:pos="9214"/>
      </w:tabs>
      <w:spacing w:line="240" w:lineRule="auto"/>
      <w:ind w:left="0" w:hanging="2"/>
      <w:jc w:val="center"/>
      <w:rPr>
        <w:color w:val="000000"/>
      </w:rPr>
    </w:pPr>
    <w:r>
      <w:rPr>
        <w:noProof/>
        <w:color w:val="E36C0A"/>
      </w:rPr>
      <w:drawing>
        <wp:inline distT="0" distB="0" distL="114300" distR="114300">
          <wp:extent cx="5389880" cy="118999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24B"/>
    <w:rsid w:val="00115D3C"/>
    <w:rsid w:val="003425F6"/>
    <w:rsid w:val="0076324B"/>
    <w:rsid w:val="007E158D"/>
    <w:rsid w:val="00B81198"/>
    <w:rsid w:val="00D8677B"/>
    <w:rsid w:val="00E70B30"/>
    <w:rsid w:val="00EF5A37"/>
    <w:rsid w:val="00F85C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F8ADD"/>
  <w15:docId w15:val="{D929F1CE-595E-432D-8DFB-3B2DF104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spacing w:line="360" w:lineRule="auto"/>
      <w:jc w:val="both"/>
    </w:pPr>
    <w:rPr>
      <w:b/>
      <w:bCs/>
    </w:rPr>
  </w:style>
  <w:style w:type="paragraph" w:styleId="Ttulo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line="360" w:lineRule="auto"/>
      <w:jc w:val="center"/>
    </w:pPr>
    <w:rPr>
      <w:b/>
      <w:bCs/>
    </w:rPr>
  </w:style>
  <w:style w:type="table" w:customStyle="1" w:styleId="NormalTable0">
    <w:name w:val="Normal Table0"/>
    <w:tblPr>
      <w:tblCellMar>
        <w:top w:w="0" w:type="dxa"/>
        <w:left w:w="0" w:type="dxa"/>
        <w:bottom w:w="0" w:type="dxa"/>
        <w:right w:w="0" w:type="dxa"/>
      </w:tblCellMar>
    </w:tblPr>
  </w:style>
  <w:style w:type="paragraph" w:styleId="Cabealho">
    <w:name w:val="header"/>
    <w:basedOn w:val="Normal"/>
  </w:style>
  <w:style w:type="paragraph" w:styleId="Rodap">
    <w:name w:val="footer"/>
    <w:basedOn w:val="Normal"/>
    <w:link w:val="RodapChar"/>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b/>
    </w:rPr>
  </w:style>
  <w:style w:type="paragraph" w:customStyle="1" w:styleId="XIEPEF-instituiodepartamentoescolaee-mail">
    <w:name w:val="XIEPEF - instituição/departamento/escola;e e-mail"/>
    <w:basedOn w:val="Normal"/>
    <w:pPr>
      <w:spacing w:after="120"/>
      <w:ind w:firstLine="851"/>
      <w:jc w:val="center"/>
    </w:pPr>
    <w:rPr>
      <w:sz w:val="20"/>
      <w:szCs w:val="20"/>
    </w:rPr>
  </w:style>
  <w:style w:type="paragraph" w:customStyle="1" w:styleId="XIEPEF-TTULO-PORTUGUS">
    <w:name w:val="XI EPEF - TÍTULO - PORTUGUÊS"/>
    <w:basedOn w:val="Normal"/>
    <w:pPr>
      <w:spacing w:after="100" w:afterAutospacing="1"/>
      <w:ind w:firstLine="851"/>
      <w:jc w:val="center"/>
    </w:pPr>
    <w:rPr>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lang w:eastAsia="en-US"/>
    </w:rPr>
  </w:style>
  <w:style w:type="paragraph" w:customStyle="1" w:styleId="Standard">
    <w:name w:val="Standard"/>
    <w:pPr>
      <w:autoSpaceDN w:val="0"/>
      <w:spacing w:line="1" w:lineRule="atLeast"/>
      <w:ind w:leftChars="-1" w:left="-1" w:hangingChars="1" w:hanging="1"/>
      <w:textDirection w:val="btLr"/>
      <w:textAlignment w:val="baseline"/>
      <w:outlineLvl w:val="0"/>
    </w:pPr>
    <w:rPr>
      <w:rFonts w:ascii="Liberation Serif" w:eastAsia="NSimSun" w:hAnsi="Liberation Serif" w:cs="Mangal"/>
      <w:kern w:val="3"/>
      <w:position w:val="-1"/>
      <w:lang w:eastAsia="zh-CN" w:bidi="hi-IN"/>
    </w:rPr>
  </w:style>
  <w:style w:type="paragraph" w:customStyle="1" w:styleId="TableContents">
    <w:name w:val="Table Contents"/>
    <w:basedOn w:val="Standard"/>
    <w:pPr>
      <w:suppressLineNumbers/>
    </w:pPr>
  </w:style>
  <w:style w:type="character" w:styleId="Forte">
    <w:name w:val="Strong"/>
    <w:rPr>
      <w:b/>
      <w:bCs/>
      <w:w w:val="100"/>
      <w:position w:val="-1"/>
      <w:effect w:val="none"/>
      <w:vertAlign w:val="baseline"/>
      <w:cs w:val="0"/>
      <w:em w:val="none"/>
    </w:r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paragraph" w:styleId="Subttulo">
    <w:name w:val="Subtitle"/>
    <w:basedOn w:val="Normal"/>
    <w:next w:val="Normal"/>
    <w:pPr>
      <w:keepNext/>
      <w:keepLines/>
      <w:spacing w:after="320"/>
    </w:pPr>
    <w:rPr>
      <w:color w:val="666666"/>
      <w:sz w:val="30"/>
      <w:szCs w:val="30"/>
    </w:rPr>
  </w:style>
  <w:style w:type="table" w:customStyle="1" w:styleId="a">
    <w:basedOn w:val="NormalTable0"/>
    <w:tblPr>
      <w:tblStyleRowBandSize w:val="1"/>
      <w:tblStyleColBandSize w:val="1"/>
    </w:tblPr>
  </w:style>
  <w:style w:type="paragraph" w:styleId="PargrafodaLista">
    <w:name w:val="List Paragraph"/>
    <w:basedOn w:val="Normal"/>
    <w:uiPriority w:val="34"/>
    <w:qFormat/>
    <w:rsid w:val="00A84F9F"/>
    <w:pPr>
      <w:ind w:left="720"/>
      <w:contextualSpacing/>
    </w:pPr>
  </w:style>
  <w:style w:type="character" w:styleId="Refdenotadefim">
    <w:name w:val="endnote reference"/>
    <w:basedOn w:val="Fontepargpadro"/>
    <w:uiPriority w:val="99"/>
    <w:semiHidden/>
    <w:unhideWhenUsed/>
    <w:rPr>
      <w:vertAlign w:val="superscript"/>
    </w:rPr>
  </w:style>
  <w:style w:type="character" w:customStyle="1" w:styleId="RodapChar">
    <w:name w:val="Rodapé Char"/>
    <w:basedOn w:val="Fontepargpadro"/>
    <w:link w:val="Rodap"/>
    <w:rsid w:val="00D8677B"/>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849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aiaraberwaldtwust@g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letianedacruz@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ioroque.girua@gmail.com"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XWOJQfPN5KV/+iK8TrNZUpdp7w==">AMUW2mUomZpL5TkV8NqUYB3+EQ6wiXQyMeb0gVFJIWUA78ijOddSbS9qlhLuKy8K1ZOepXDo/MCJJkXkbtGQlkeab1KlCRfBy+PcgnZIyafhhgFiB7WI/SUw705z3nrmwtXAzHAp1CBR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467</Words>
  <Characters>2524</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4</cp:revision>
  <dcterms:created xsi:type="dcterms:W3CDTF">2020-02-28T13:39:00Z</dcterms:created>
  <dcterms:modified xsi:type="dcterms:W3CDTF">2020-07-17T20:00:00Z</dcterms:modified>
</cp:coreProperties>
</file>